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Washington County Narcotics Anonymous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 Subcommittee Guidelines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February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carry the message of NA to the public through PR work as described in the  Public Relations Handbook.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participants shall conduct themselves in accordance with internal subcommittee guidelines and decisions, ASC policy, our Twelve Steps, Twelve Traditions, and the Twelve Concepts for Service in NA.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Vision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vision is that the message of NA will be more available to addicts in treatment centers, government and non-government agencies in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Washington County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strive to make NA a "household name" and the name of Narcotics Anonymous to be synonymous with the positive values of recovery to the public.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Structure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 Chair - Elected by and accountable to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 Vice Chair - Selected by and accountable to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 Subcommittee.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Project Coordinators - Selected by and accountable to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 Subcommittee.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Members - Any NA member who is willing to show up, uphold committee decisions and regularly help in PR projects.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Decisions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committee decisions are made by consensus.  Consensus means that all members agree to the decision made or if not, abide by the decision.  Consensus is not a "vote" or "straw poll".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committee holds regular monthly meetings as scheduled by the Chair.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Extra meetings are held whenever they seem necessary in order to accomplish particular projects.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Projects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projects are planned with a budget and submitted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 approval.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1440" w:right="0" w:hanging="72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detailed report on ongoing projects is submitted to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the chair at regularly scheduled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WCNA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72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3600" w:hanging="72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